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74C4C" w14:textId="65736432" w:rsidR="005C5E01" w:rsidRPr="005C5E01" w:rsidRDefault="005C5E01" w:rsidP="005C5E01">
      <w:pPr>
        <w:rPr>
          <w:rStyle w:val="SubtleEmphasis"/>
          <w:b/>
          <w:bCs/>
        </w:rPr>
      </w:pPr>
      <w:r w:rsidRPr="005C5E01">
        <w:rPr>
          <w:rStyle w:val="SubtleEmphasis"/>
          <w:b/>
          <w:bCs/>
        </w:rPr>
        <w:t>2024 Annual Licensing Database Data Dictionary</w:t>
      </w:r>
    </w:p>
    <w:p w14:paraId="0E9B6AAA" w14:textId="77777777" w:rsidR="005C5E01" w:rsidRDefault="005C5E01" w:rsidP="005C5E01">
      <w:pPr>
        <w:rPr>
          <w:b/>
          <w:i/>
        </w:rPr>
      </w:pPr>
    </w:p>
    <w:p w14:paraId="7C47367A" w14:textId="53BE1090" w:rsidR="005C5E01" w:rsidRPr="00D533CA" w:rsidRDefault="005C5E01" w:rsidP="005C5E01">
      <w:pPr>
        <w:rPr>
          <w:b/>
          <w:i/>
        </w:rPr>
      </w:pPr>
      <w:r w:rsidRPr="005C5E01">
        <w:rPr>
          <w:b/>
          <w:i/>
        </w:rPr>
        <w:t xml:space="preserve">Use for files: </w:t>
      </w:r>
      <w:r w:rsidR="00D533CA" w:rsidRPr="00D533CA">
        <w:rPr>
          <w:b/>
          <w:i/>
        </w:rPr>
        <w:t xml:space="preserve">Database_New2024.xlsx; Database_Update2024.xlsx; KRRCDatabase2024.xlsx; KRRCDatabase2024.dta </w:t>
      </w:r>
    </w:p>
    <w:p w14:paraId="322E778A" w14:textId="77777777" w:rsidR="005C5E01" w:rsidRPr="00D533CA" w:rsidRDefault="005C5E01" w:rsidP="005C5E01">
      <w:pPr>
        <w:rPr>
          <w:bCs/>
          <w:i/>
        </w:rPr>
      </w:pPr>
    </w:p>
    <w:p w14:paraId="6CF0FCE2" w14:textId="77777777" w:rsidR="005C5E01" w:rsidRDefault="005C5E01" w:rsidP="005C5E01">
      <w:pPr>
        <w:rPr>
          <w:b/>
          <w:i/>
        </w:rPr>
      </w:pPr>
    </w:p>
    <w:p w14:paraId="39108373" w14:textId="16D7B96B" w:rsidR="005C5E01" w:rsidRPr="00D400C2" w:rsidRDefault="005C5E01" w:rsidP="005C5E01">
      <w:r w:rsidRPr="00D400C2">
        <w:t>State: the name of the state</w:t>
      </w:r>
    </w:p>
    <w:p w14:paraId="498F92C4" w14:textId="77777777" w:rsidR="005C5E01" w:rsidRPr="00D400C2" w:rsidRDefault="005C5E01" w:rsidP="005C5E01"/>
    <w:p w14:paraId="23FE47B1" w14:textId="77777777" w:rsidR="005C5E01" w:rsidRPr="00D400C2" w:rsidRDefault="005C5E01" w:rsidP="005C5E01">
      <w:proofErr w:type="spellStart"/>
      <w:r w:rsidRPr="00D400C2">
        <w:t>Statefips</w:t>
      </w:r>
      <w:proofErr w:type="spellEnd"/>
      <w:r w:rsidRPr="00D400C2">
        <w:t xml:space="preserve">: </w:t>
      </w:r>
      <w:proofErr w:type="gramStart"/>
      <w:r w:rsidRPr="00D400C2">
        <w:t>the</w:t>
      </w:r>
      <w:proofErr w:type="gramEnd"/>
      <w:r w:rsidRPr="00D400C2">
        <w:t xml:space="preserve"> </w:t>
      </w:r>
      <w:proofErr w:type="spellStart"/>
      <w:r w:rsidRPr="00D400C2">
        <w:t>Statefips</w:t>
      </w:r>
      <w:proofErr w:type="spellEnd"/>
      <w:r w:rsidRPr="00D400C2">
        <w:t xml:space="preserve"> code from American National Standards Institute (ANSI). </w:t>
      </w:r>
    </w:p>
    <w:p w14:paraId="6D1106A6" w14:textId="77777777" w:rsidR="005C5E01" w:rsidRDefault="005C5E01" w:rsidP="005C5E01"/>
    <w:p w14:paraId="4138F4BB" w14:textId="77777777" w:rsidR="005C5E01" w:rsidRDefault="005C5E01" w:rsidP="005C5E01">
      <w:r>
        <w:t xml:space="preserve">Year: the year that the requirements were gathered. </w:t>
      </w:r>
    </w:p>
    <w:p w14:paraId="41118F76" w14:textId="77777777" w:rsidR="005C5E01" w:rsidRPr="00D400C2" w:rsidRDefault="005C5E01" w:rsidP="005C5E01"/>
    <w:p w14:paraId="59B9806D" w14:textId="77777777" w:rsidR="005C5E01" w:rsidRPr="00D400C2" w:rsidRDefault="005C5E01" w:rsidP="005C5E01">
      <w:r w:rsidRPr="00D400C2">
        <w:t xml:space="preserve">Profession: the name of the profession. When the title </w:t>
      </w:r>
      <w:r>
        <w:t xml:space="preserve">for a single profession can </w:t>
      </w:r>
      <w:r w:rsidRPr="00D400C2">
        <w:t>var</w:t>
      </w:r>
      <w:r>
        <w:t>y</w:t>
      </w:r>
      <w:r w:rsidRPr="00D400C2">
        <w:t xml:space="preserve"> between states, we will choose the </w:t>
      </w:r>
      <w:proofErr w:type="gramStart"/>
      <w:r w:rsidRPr="00D400C2">
        <w:t>most common</w:t>
      </w:r>
      <w:r>
        <w:t>ly used</w:t>
      </w:r>
      <w:proofErr w:type="gramEnd"/>
      <w:r w:rsidRPr="00D400C2">
        <w:t xml:space="preserve"> title. To be considered the same profession, the profession’s scope of practice must be similar. The team member will base the profession on the job description, not the title used in the statute. </w:t>
      </w:r>
    </w:p>
    <w:p w14:paraId="3C80B847" w14:textId="77777777" w:rsidR="005C5E01" w:rsidRPr="00D400C2" w:rsidRDefault="005C5E01" w:rsidP="005C5E01"/>
    <w:p w14:paraId="312A5E1A" w14:textId="77777777" w:rsidR="005C5E01" w:rsidRPr="00D400C2" w:rsidRDefault="005C5E01" w:rsidP="005C5E01">
      <w:r w:rsidRPr="00D400C2">
        <w:t xml:space="preserve">Profession Code: a unique, 3-digit code created for the database. The first digit represents the first year that the profession is included in the database, the second two digits are a unique identifier for the profession within that year, in alphabetical order. For the 50 professions in the first release, the codes are 101-150. The 1 represents year 1 and 01-50 represents each profession that year. Those beginning in year two </w:t>
      </w:r>
      <w:r>
        <w:t>ar</w:t>
      </w:r>
      <w:r w:rsidRPr="00D400C2">
        <w:t>e numbered 201 and run through 2</w:t>
      </w:r>
      <w:r>
        <w:t>27</w:t>
      </w:r>
      <w:r w:rsidRPr="00D400C2">
        <w:t>, for all</w:t>
      </w:r>
      <w:r>
        <w:t xml:space="preserve"> 27 </w:t>
      </w:r>
      <w:r w:rsidRPr="00D400C2">
        <w:t xml:space="preserve">professions gathered that year. </w:t>
      </w:r>
    </w:p>
    <w:p w14:paraId="4168CAE9" w14:textId="77777777" w:rsidR="005C5E01" w:rsidRPr="00D400C2" w:rsidRDefault="005C5E01" w:rsidP="005C5E01"/>
    <w:p w14:paraId="6C3D20B6" w14:textId="77777777" w:rsidR="005C5E01" w:rsidRPr="00D400C2" w:rsidRDefault="005C5E01" w:rsidP="005C5E01">
      <w:r w:rsidRPr="00D400C2">
        <w:t>SOC: the Standard Occupational Classification for the profession. These codes are used by federal agencies to classify workers into occupational categories with similar job duties, and in some cases skills, education, and/or training. Noah Trudeau matched each profession to an SOC for the State Occupational Licensing Index</w:t>
      </w:r>
      <w:r>
        <w:t xml:space="preserve"> (SOLI)</w:t>
      </w:r>
      <w:r w:rsidRPr="00D400C2">
        <w:t>, which we used for th</w:t>
      </w:r>
      <w:r>
        <w:t>e database</w:t>
      </w:r>
      <w:r w:rsidRPr="00D400C2">
        <w:t xml:space="preserve">. </w:t>
      </w:r>
    </w:p>
    <w:p w14:paraId="001CDEAE" w14:textId="77777777" w:rsidR="005C5E01" w:rsidRPr="00D400C2" w:rsidRDefault="005C5E01" w:rsidP="005C5E01"/>
    <w:p w14:paraId="6E9776B9" w14:textId="77777777" w:rsidR="005C5E01" w:rsidRPr="00D400C2" w:rsidRDefault="005C5E01" w:rsidP="005C5E01">
      <w:r w:rsidRPr="00D400C2">
        <w:t xml:space="preserve">Industry: the name of the industry under which the profession falls. We created a variable for industry, which is primarily based on industry classifications used by federal agencies. </w:t>
      </w:r>
    </w:p>
    <w:p w14:paraId="43B29C48" w14:textId="77777777" w:rsidR="005C5E01" w:rsidRPr="00D400C2" w:rsidRDefault="005C5E01" w:rsidP="005C5E01"/>
    <w:p w14:paraId="36224ECC" w14:textId="77777777" w:rsidR="005C5E01" w:rsidRPr="00D400C2" w:rsidRDefault="005C5E01" w:rsidP="005C5E01">
      <w:r w:rsidRPr="00D400C2">
        <w:t xml:space="preserve">Type of Regulation: </w:t>
      </w:r>
      <w:r>
        <w:t xml:space="preserve">the form of regulation used to regulate the profession. </w:t>
      </w:r>
      <w:r w:rsidRPr="00D400C2">
        <w:t xml:space="preserve">We will include requirements for licensing, certification, and registration. If a state offers voluntary certification, it will be included in the notes. We used the standard definition of licensing used by economists. States commonly use license, certification, and registration interchangeably, even though they describe specific types of professional regulation. We classify a profession as licensed if the credential is required to legally offer services in a profession and some education, training, or exam is required. It is illegal to offer services in a licensed profession without a license, and that license must include some requirement that is designed to ensure competency, even if minimal. Certification is title protection, where only individuals who </w:t>
      </w:r>
      <w:proofErr w:type="gramStart"/>
      <w:r w:rsidRPr="00D400C2">
        <w:t>obtain</w:t>
      </w:r>
      <w:proofErr w:type="gramEnd"/>
      <w:r w:rsidRPr="00D400C2">
        <w:t xml:space="preserve"> the credential are allowed to advertise themselves as members of the profession, but anyone can offer services. Simple registration with the state without any education, training, or exam is classified as registration.</w:t>
      </w:r>
    </w:p>
    <w:p w14:paraId="5D35BD60" w14:textId="77777777" w:rsidR="005C5E01" w:rsidRPr="00D400C2" w:rsidRDefault="005C5E01" w:rsidP="005C5E01"/>
    <w:p w14:paraId="71AF00D6" w14:textId="77777777" w:rsidR="005C5E01" w:rsidRPr="00D400C2" w:rsidRDefault="005C5E01" w:rsidP="005C5E01">
      <w:r w:rsidRPr="00D400C2">
        <w:t xml:space="preserve">Initial Fee: the total fees paid to the board to receive the initial license. Includes the application fee, license fee, and exam fee. We do not include any background check fees in this number. If </w:t>
      </w:r>
      <w:r w:rsidRPr="00D400C2">
        <w:lastRenderedPageBreak/>
        <w:t xml:space="preserve">there is a difference between the fee for an online application and a paper application, choose the online fee. If the initial licensing fee includes a required contribution to a professional fund, that will count as a part of the initial licensing fee. If the licensing requirements include a credential from one of several private certifying organizations, we do not include that fee for any </w:t>
      </w:r>
      <w:proofErr w:type="gramStart"/>
      <w:r w:rsidRPr="00D400C2">
        <w:t>state, but</w:t>
      </w:r>
      <w:proofErr w:type="gramEnd"/>
      <w:r w:rsidRPr="00D400C2">
        <w:t xml:space="preserve"> include in the notes for the website. </w:t>
      </w:r>
    </w:p>
    <w:p w14:paraId="61C00056" w14:textId="77777777" w:rsidR="005C5E01" w:rsidRPr="00D400C2" w:rsidRDefault="005C5E01" w:rsidP="005C5E01"/>
    <w:p w14:paraId="1DD9C0FB" w14:textId="77777777" w:rsidR="005C5E01" w:rsidRPr="00D400C2" w:rsidRDefault="005C5E01" w:rsidP="005C5E01">
      <w:r w:rsidRPr="00D400C2">
        <w:t xml:space="preserve">Degree: the education necessary to obtain a license. Includes only traditional forms of education, for instance, high school diploma, associate degree, bachelor's degree, or postgraduate degrees. If a state only lists the number of credit hours for a profession, then all states should be transformed to credit hours. A bachelor’s degree will count as 120 credit hours and an associate degree as 60 hours. For some professions, states will offer a combination of education and on-the-job experience. In this case, choose the relevant degree and that level of experience, and include the other options in the notes. If another degree level appears to be the most likely, then choose that and briefly include why it is the most likely education pathway in the notes. </w:t>
      </w:r>
    </w:p>
    <w:p w14:paraId="45CD1993" w14:textId="77777777" w:rsidR="005C5E01" w:rsidRPr="00D400C2" w:rsidRDefault="005C5E01" w:rsidP="005C5E01"/>
    <w:p w14:paraId="685B05AD" w14:textId="77777777" w:rsidR="005C5E01" w:rsidRPr="00D400C2" w:rsidRDefault="005C5E01" w:rsidP="005C5E01">
      <w:r w:rsidRPr="00D400C2">
        <w:t>Experience: the hours of hands-on experience under the supervision of a licensed professional or a professional training program. Profession-specific education program outside of traditional degree path, measured in hours</w:t>
      </w:r>
      <w:r>
        <w:t>, f</w:t>
      </w:r>
      <w:r w:rsidRPr="00D400C2">
        <w:t>or instance,</w:t>
      </w:r>
      <w:r>
        <w:t xml:space="preserve"> a</w:t>
      </w:r>
      <w:r w:rsidRPr="00D400C2">
        <w:t xml:space="preserve"> </w:t>
      </w:r>
      <w:proofErr w:type="gramStart"/>
      <w:r w:rsidRPr="00D400C2">
        <w:t>1,500 hour</w:t>
      </w:r>
      <w:proofErr w:type="gramEnd"/>
      <w:r w:rsidRPr="00D400C2">
        <w:t xml:space="preserve"> barber training program. </w:t>
      </w:r>
      <w:r>
        <w:t>We a</w:t>
      </w:r>
      <w:r w:rsidRPr="00D400C2">
        <w:t xml:space="preserve">lso include didactic education for medical professions, also listed in hours. Some states will list didactic education in years. In this case, use 2,000 hours = 1 </w:t>
      </w:r>
      <w:proofErr w:type="gramStart"/>
      <w:r w:rsidRPr="00D400C2">
        <w:t>year</w:t>
      </w:r>
      <w:proofErr w:type="gramEnd"/>
      <w:r w:rsidRPr="00D400C2">
        <w:t xml:space="preserve">, unless the statute or regulation defines 1 year of experience differently. </w:t>
      </w:r>
      <w:r w:rsidRPr="00A9455B">
        <w:t xml:space="preserve">Note: for physicians, surgeons, and podiatrists, this undercounts the hours of residency programs, which can be up to 80 hours per week. </w:t>
      </w:r>
      <w:r w:rsidRPr="00D400C2">
        <w:t>W</w:t>
      </w:r>
      <w:r>
        <w:t>e also</w:t>
      </w:r>
      <w:r w:rsidRPr="00D400C2">
        <w:t xml:space="preserve"> include an apprenticeship that is required to obtain a license. </w:t>
      </w:r>
    </w:p>
    <w:p w14:paraId="06F59F8F" w14:textId="77777777" w:rsidR="005C5E01" w:rsidRPr="00D400C2" w:rsidRDefault="005C5E01" w:rsidP="005C5E01"/>
    <w:p w14:paraId="17F6DF08" w14:textId="77777777" w:rsidR="005C5E01" w:rsidRPr="00D400C2" w:rsidRDefault="005C5E01" w:rsidP="005C5E01">
      <w:r w:rsidRPr="00D400C2">
        <w:t xml:space="preserve">Education Code: the level of </w:t>
      </w:r>
      <w:r>
        <w:t xml:space="preserve">combined </w:t>
      </w:r>
      <w:r w:rsidRPr="00D400C2">
        <w:t xml:space="preserve">education and training required for an initial license. This represents the highest level of education required for the profession. We include both traditional education and profession-related training, which we classify as a certificate. Hands-on training under the supervision of a licensed professional does not count as a certificate, because it is a part of the degree requirement. 1 = high school; 2 = certificate; 3 = associate degree; 4 = bachelor’s degree; 5 = master’s degree; 6 = doctorate. </w:t>
      </w:r>
    </w:p>
    <w:p w14:paraId="74D70494" w14:textId="77777777" w:rsidR="005C5E01" w:rsidRPr="00D400C2" w:rsidRDefault="005C5E01" w:rsidP="005C5E01"/>
    <w:p w14:paraId="77D79753" w14:textId="77777777" w:rsidR="005C5E01" w:rsidRPr="00D400C2" w:rsidRDefault="005C5E01" w:rsidP="005C5E01">
      <w:r w:rsidRPr="00D400C2">
        <w:t xml:space="preserve">Exams: the number of exams taken to obtain a license. When states split the exam into written and practical components, we classify them as two separate exams. If a profession requires additional experience to be obtained before sitting for parts of the same exam, then it will count as multiple exams. State jurisprudence exams also count as an additional exam. </w:t>
      </w:r>
    </w:p>
    <w:p w14:paraId="24D54B35" w14:textId="77777777" w:rsidR="005C5E01" w:rsidRPr="00D400C2" w:rsidRDefault="005C5E01" w:rsidP="005C5E01"/>
    <w:p w14:paraId="25B2F411" w14:textId="77777777" w:rsidR="005C5E01" w:rsidRDefault="005C5E01" w:rsidP="005C5E01">
      <w:r>
        <w:t xml:space="preserve">Multiple Pathways: whether a professional has alternate pathways to obtaining the necessary education and training for a license. Some professions allow apprenticeships to be used in lieu of classroom education, while other professions require different combinations of education and training under a licensed professional. </w:t>
      </w:r>
      <w:r w:rsidRPr="00D400C2">
        <w:t xml:space="preserve">It is a binary variable, coded as “yes” or “no” in the database and 0 or 1 in the database release.  </w:t>
      </w:r>
    </w:p>
    <w:p w14:paraId="5D49F269" w14:textId="77777777" w:rsidR="005C5E01" w:rsidRDefault="005C5E01" w:rsidP="005C5E01"/>
    <w:p w14:paraId="78E595DC" w14:textId="77777777" w:rsidR="005C5E01" w:rsidRPr="00D400C2" w:rsidRDefault="005C5E01" w:rsidP="005C5E01">
      <w:r w:rsidRPr="00D400C2">
        <w:t xml:space="preserve">Citizenship: the requirement for proof of citizenship to be eligible for a license. Requirements for an applicant to provide their social security number do not count. If the law requires citizenship </w:t>
      </w:r>
      <w:r w:rsidRPr="00D400C2">
        <w:rPr>
          <w:i/>
        </w:rPr>
        <w:t>or</w:t>
      </w:r>
      <w:r w:rsidRPr="00D400C2">
        <w:t xml:space="preserve"> legal authorization (or something </w:t>
      </w:r>
      <w:r>
        <w:t xml:space="preserve">substantially </w:t>
      </w:r>
      <w:r w:rsidRPr="00D400C2">
        <w:t xml:space="preserve">similar), it can be included in the notes section </w:t>
      </w:r>
      <w:r w:rsidRPr="00D400C2">
        <w:lastRenderedPageBreak/>
        <w:t xml:space="preserve">but does not count as a citizenship requirement. It is a binary variable, coded as “yes” or “no” in the database and 0 or 1 in the database release.  </w:t>
      </w:r>
    </w:p>
    <w:p w14:paraId="1AB31275" w14:textId="77777777" w:rsidR="005C5E01" w:rsidRPr="00D400C2" w:rsidRDefault="005C5E01" w:rsidP="005C5E01"/>
    <w:p w14:paraId="62D7DDF4" w14:textId="77777777" w:rsidR="005C5E01" w:rsidRPr="00D400C2" w:rsidRDefault="005C5E01" w:rsidP="005C5E01">
      <w:pPr>
        <w:rPr>
          <w:vertAlign w:val="subscript"/>
        </w:rPr>
      </w:pPr>
      <w:r w:rsidRPr="00D400C2">
        <w:t xml:space="preserve">Minimum Age: the minimum age that someone must attain before being allowed to receive a license. “Age of majority” and “legal adult” mean 18 years of age. </w:t>
      </w:r>
      <w:r>
        <w:t>We i</w:t>
      </w:r>
      <w:r w:rsidRPr="00D400C2">
        <w:t xml:space="preserve">nclude the </w:t>
      </w:r>
      <w:r>
        <w:t xml:space="preserve">minimum </w:t>
      </w:r>
      <w:r w:rsidRPr="00D400C2">
        <w:t>age even if it is too young to be a relevant factor</w:t>
      </w:r>
      <w:r>
        <w:t xml:space="preserve"> given the current education system</w:t>
      </w:r>
      <w:r w:rsidRPr="00D400C2">
        <w:t xml:space="preserve">. For instance, dentists </w:t>
      </w:r>
      <w:r>
        <w:t xml:space="preserve">may </w:t>
      </w:r>
      <w:r w:rsidRPr="00D400C2">
        <w:t xml:space="preserve">be required to be at least 18 years of age. </w:t>
      </w:r>
    </w:p>
    <w:p w14:paraId="0E6AD679" w14:textId="77777777" w:rsidR="005C5E01" w:rsidRPr="00D400C2" w:rsidRDefault="005C5E01" w:rsidP="005C5E01"/>
    <w:p w14:paraId="33B2AAF6" w14:textId="77777777" w:rsidR="005C5E01" w:rsidRPr="00D400C2" w:rsidRDefault="005C5E01" w:rsidP="005C5E01">
      <w:r w:rsidRPr="00D400C2">
        <w:t xml:space="preserve">Good Moral Character: if the licensing law clearly states that the applicant must be of "good moral character," prohibits crimes of "moral turpitude," or mentions repute or temperate habits. If a state requires a background check or limits based on clearly defined crimes, it does not count as good moral character. If a license requires character references, </w:t>
      </w:r>
      <w:r>
        <w:t xml:space="preserve">we </w:t>
      </w:r>
      <w:r w:rsidRPr="00D400C2">
        <w:t xml:space="preserve">do not consider </w:t>
      </w:r>
      <w:r>
        <w:t xml:space="preserve">it </w:t>
      </w:r>
      <w:r w:rsidRPr="00D400C2">
        <w:t xml:space="preserve">good moral character, unless it appears to be used as a vague way to deny people a license.  </w:t>
      </w:r>
    </w:p>
    <w:p w14:paraId="68557263" w14:textId="77777777" w:rsidR="005C5E01" w:rsidRPr="00D400C2" w:rsidRDefault="005C5E01" w:rsidP="005C5E01"/>
    <w:p w14:paraId="311223B2" w14:textId="77777777" w:rsidR="005C5E01" w:rsidRPr="00D400C2" w:rsidRDefault="005C5E01" w:rsidP="005C5E01">
      <w:r w:rsidRPr="00D400C2">
        <w:t xml:space="preserve">English Language: the requirement that an applicant be proficient in English. </w:t>
      </w:r>
      <w:r>
        <w:t>To be considered a requirement, a state m</w:t>
      </w:r>
      <w:r w:rsidRPr="00D400C2">
        <w:t>ust include language in the statutes that exams may only be offered in English, requirements for non-native English speakers to pass an English proficiency exam (TOEFL), or language that requires proficiency in written or spoken English. Some states may only offer exams in English in practice, for any number of reasons, but we only consider it a requirement if by law they are limited to exams offered in the English language.</w:t>
      </w:r>
    </w:p>
    <w:p w14:paraId="1FF03470" w14:textId="77777777" w:rsidR="005C5E01" w:rsidRPr="00D400C2" w:rsidRDefault="005C5E01" w:rsidP="005C5E01"/>
    <w:p w14:paraId="5D187F2F" w14:textId="77777777" w:rsidR="005C5E01" w:rsidRPr="00D400C2" w:rsidRDefault="005C5E01" w:rsidP="005C5E01">
      <w:r w:rsidRPr="00D400C2">
        <w:t xml:space="preserve">Continuing Education: the number of hours of continuing education or professional development that must be completed </w:t>
      </w:r>
      <w:proofErr w:type="gramStart"/>
      <w:r w:rsidRPr="00D400C2">
        <w:t>in order to</w:t>
      </w:r>
      <w:proofErr w:type="gramEnd"/>
      <w:r w:rsidRPr="00D400C2">
        <w:t xml:space="preserve"> renew a license. </w:t>
      </w:r>
      <w:r>
        <w:t>We p</w:t>
      </w:r>
      <w:r w:rsidRPr="00D400C2">
        <w:t xml:space="preserve">rorate each continuing education hour requirement </w:t>
      </w:r>
      <w:r>
        <w:t xml:space="preserve">to </w:t>
      </w:r>
      <w:r w:rsidRPr="00D400C2">
        <w:t xml:space="preserve">a biennial basis. </w:t>
      </w:r>
    </w:p>
    <w:p w14:paraId="0FD40764" w14:textId="77777777" w:rsidR="005C5E01" w:rsidRPr="00D400C2" w:rsidRDefault="005C5E01" w:rsidP="005C5E01"/>
    <w:p w14:paraId="542C4E96" w14:textId="77777777" w:rsidR="005C5E01" w:rsidRPr="00D400C2" w:rsidRDefault="005C5E01" w:rsidP="005C5E01">
      <w:r w:rsidRPr="00D400C2">
        <w:t xml:space="preserve">Renewal Fee: the few to renew a license. </w:t>
      </w:r>
      <w:r>
        <w:t>We also p</w:t>
      </w:r>
      <w:r w:rsidRPr="00D400C2">
        <w:t xml:space="preserve">rorate each renewal fee requirement </w:t>
      </w:r>
      <w:proofErr w:type="gramStart"/>
      <w:r>
        <w:t>to</w:t>
      </w:r>
      <w:proofErr w:type="gramEnd"/>
      <w:r>
        <w:t xml:space="preserve"> </w:t>
      </w:r>
      <w:r w:rsidRPr="00D400C2">
        <w:t>a biennial basis. If licenses must be renewed in a different length of time, put it in the notes and show the math.</w:t>
      </w:r>
    </w:p>
    <w:p w14:paraId="42CFA05E" w14:textId="77777777" w:rsidR="005C5E01" w:rsidRPr="00D400C2" w:rsidRDefault="005C5E01" w:rsidP="005C5E01"/>
    <w:p w14:paraId="324801C1" w14:textId="77777777" w:rsidR="005C5E01" w:rsidRDefault="005C5E01" w:rsidP="005C5E01">
      <w:pPr>
        <w:rPr>
          <w:u w:val="single"/>
        </w:rPr>
      </w:pPr>
      <w:r w:rsidRPr="00D400C2">
        <w:t xml:space="preserve">Reciprocity or Endorsement: the application process for transferring a license from another state. Endorsement is where the individual boards go through and review a candidate's education and experience background to see if they qualify for licensure, registration, or certification. Endorsement requires substantially similar education and training to obtain a license. Reciprocity is where the state board has a formal agreement with a board in another state that lowers the barriers between the participating states making it easier for persons in a specific profession to move between the states that are a part of the reciprocal agreement. For reciprocity, the license from another state must be accepted regardless of the requirements. </w:t>
      </w:r>
      <w:r>
        <w:t xml:space="preserve">We do not include </w:t>
      </w:r>
      <w:proofErr w:type="gramStart"/>
      <w:r>
        <w:t>whether  state</w:t>
      </w:r>
      <w:proofErr w:type="gramEnd"/>
      <w:r>
        <w:t xml:space="preserve"> has universal recognition of out-of-state licenses, because they vary in the professions included. </w:t>
      </w:r>
    </w:p>
    <w:p w14:paraId="288C9A3E" w14:textId="77777777" w:rsidR="0003681D" w:rsidRDefault="0003681D"/>
    <w:sectPr w:rsidR="0003681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21985" w14:textId="77777777" w:rsidR="005C5E01" w:rsidRDefault="005C5E01" w:rsidP="005C5E01">
      <w:r>
        <w:separator/>
      </w:r>
    </w:p>
  </w:endnote>
  <w:endnote w:type="continuationSeparator" w:id="0">
    <w:p w14:paraId="6CBA9179" w14:textId="77777777" w:rsidR="005C5E01" w:rsidRDefault="005C5E01" w:rsidP="005C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3EE4B" w14:textId="77777777" w:rsidR="005C5E01" w:rsidRDefault="005C5E01" w:rsidP="005C5E01">
      <w:r>
        <w:separator/>
      </w:r>
    </w:p>
  </w:footnote>
  <w:footnote w:type="continuationSeparator" w:id="0">
    <w:p w14:paraId="27D10A6A" w14:textId="77777777" w:rsidR="005C5E01" w:rsidRDefault="005C5E01" w:rsidP="005C5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13D97" w14:textId="2CDC066B" w:rsidR="005C5E01" w:rsidRPr="005C5E01" w:rsidRDefault="005C5E01">
    <w:pPr>
      <w:spacing w:line="264" w:lineRule="auto"/>
    </w:pPr>
    <w:r w:rsidRPr="005C5E01">
      <w:rPr>
        <w:noProof/>
      </w:rPr>
      <mc:AlternateContent>
        <mc:Choice Requires="wps">
          <w:drawing>
            <wp:anchor distT="0" distB="0" distL="114300" distR="114300" simplePos="0" relativeHeight="251659264" behindDoc="0" locked="0" layoutInCell="1" allowOverlap="1" wp14:anchorId="7394ACAF" wp14:editId="29B1A5D2">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CCD4FAA"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sz w:val="20"/>
          <w:szCs w:val="20"/>
        </w:rPr>
        <w:alias w:val="Title"/>
        <w:id w:val="15524250"/>
        <w:placeholder>
          <w:docPart w:val="D48D866DCFD3421C89F658D6ADF3BD43"/>
        </w:placeholder>
        <w:dataBinding w:prefixMappings="xmlns:ns0='http://schemas.openxmlformats.org/package/2006/metadata/core-properties' xmlns:ns1='http://purl.org/dc/elements/1.1/'" w:xpath="/ns0:coreProperties[1]/ns1:title[1]" w:storeItemID="{6C3C8BC8-F283-45AE-878A-BAB7291924A1}"/>
        <w:text/>
      </w:sdtPr>
      <w:sdtContent>
        <w:r w:rsidRPr="005C5E01">
          <w:rPr>
            <w:sz w:val="20"/>
            <w:szCs w:val="20"/>
          </w:rPr>
          <w:t>Knee Regulatory Research Center</w:t>
        </w:r>
      </w:sdtContent>
    </w:sdt>
  </w:p>
  <w:p w14:paraId="407F03C3" w14:textId="77777777" w:rsidR="005C5E01" w:rsidRDefault="005C5E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01"/>
    <w:rsid w:val="0003681D"/>
    <w:rsid w:val="005C5E01"/>
    <w:rsid w:val="006E3FD9"/>
    <w:rsid w:val="00D533CA"/>
    <w:rsid w:val="00E7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4AB8"/>
  <w15:chartTrackingRefBased/>
  <w15:docId w15:val="{77EA96E5-7ADC-4042-8CAD-904FA7C4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E01"/>
    <w:pPr>
      <w:spacing w:after="0" w:line="240" w:lineRule="auto"/>
    </w:pPr>
    <w:rPr>
      <w:rFonts w:ascii="Times New Roman" w:hAnsi="Times New Roman" w:cs="Times New Roman"/>
    </w:rPr>
  </w:style>
  <w:style w:type="paragraph" w:styleId="Heading1">
    <w:name w:val="heading 1"/>
    <w:basedOn w:val="Normal"/>
    <w:next w:val="Normal"/>
    <w:link w:val="Heading1Char"/>
    <w:uiPriority w:val="9"/>
    <w:qFormat/>
    <w:rsid w:val="005C5E0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E0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E01"/>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E01"/>
    <w:pPr>
      <w:keepNext/>
      <w:keepLines/>
      <w:spacing w:before="80" w:after="40" w:line="278" w:lineRule="auto"/>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5E01"/>
    <w:pPr>
      <w:keepNext/>
      <w:keepLines/>
      <w:spacing w:before="80" w:after="40" w:line="278" w:lineRule="auto"/>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5E01"/>
    <w:pPr>
      <w:keepNext/>
      <w:keepLines/>
      <w:spacing w:before="40" w:line="278"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5E01"/>
    <w:pPr>
      <w:keepNext/>
      <w:keepLines/>
      <w:spacing w:before="40" w:line="278"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5E01"/>
    <w:pPr>
      <w:keepNext/>
      <w:keepLines/>
      <w:spacing w:line="278"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5E01"/>
    <w:pPr>
      <w:keepNext/>
      <w:keepLines/>
      <w:spacing w:line="278"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E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E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E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E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E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E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E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E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E01"/>
    <w:rPr>
      <w:rFonts w:eastAsiaTheme="majorEastAsia" w:cstheme="majorBidi"/>
      <w:color w:val="272727" w:themeColor="text1" w:themeTint="D8"/>
    </w:rPr>
  </w:style>
  <w:style w:type="paragraph" w:styleId="Title">
    <w:name w:val="Title"/>
    <w:basedOn w:val="Normal"/>
    <w:next w:val="Normal"/>
    <w:link w:val="TitleChar"/>
    <w:uiPriority w:val="10"/>
    <w:qFormat/>
    <w:rsid w:val="005C5E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E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E01"/>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E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E01"/>
    <w:pPr>
      <w:spacing w:before="160" w:after="160" w:line="278" w:lineRule="auto"/>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5C5E01"/>
    <w:rPr>
      <w:i/>
      <w:iCs/>
      <w:color w:val="404040" w:themeColor="text1" w:themeTint="BF"/>
    </w:rPr>
  </w:style>
  <w:style w:type="paragraph" w:styleId="ListParagraph">
    <w:name w:val="List Paragraph"/>
    <w:basedOn w:val="Normal"/>
    <w:uiPriority w:val="34"/>
    <w:qFormat/>
    <w:rsid w:val="005C5E01"/>
    <w:pPr>
      <w:spacing w:after="160" w:line="278" w:lineRule="auto"/>
      <w:ind w:left="720"/>
      <w:contextualSpacing/>
    </w:pPr>
    <w:rPr>
      <w:rFonts w:asciiTheme="minorHAnsi" w:hAnsiTheme="minorHAnsi" w:cstheme="minorBidi"/>
    </w:rPr>
  </w:style>
  <w:style w:type="character" w:styleId="IntenseEmphasis">
    <w:name w:val="Intense Emphasis"/>
    <w:basedOn w:val="DefaultParagraphFont"/>
    <w:uiPriority w:val="21"/>
    <w:qFormat/>
    <w:rsid w:val="005C5E01"/>
    <w:rPr>
      <w:i/>
      <w:iCs/>
      <w:color w:val="0F4761" w:themeColor="accent1" w:themeShade="BF"/>
    </w:rPr>
  </w:style>
  <w:style w:type="paragraph" w:styleId="IntenseQuote">
    <w:name w:val="Intense Quote"/>
    <w:basedOn w:val="Normal"/>
    <w:next w:val="Normal"/>
    <w:link w:val="IntenseQuoteChar"/>
    <w:uiPriority w:val="30"/>
    <w:qFormat/>
    <w:rsid w:val="005C5E0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5C5E01"/>
    <w:rPr>
      <w:i/>
      <w:iCs/>
      <w:color w:val="0F4761" w:themeColor="accent1" w:themeShade="BF"/>
    </w:rPr>
  </w:style>
  <w:style w:type="character" w:styleId="IntenseReference">
    <w:name w:val="Intense Reference"/>
    <w:basedOn w:val="DefaultParagraphFont"/>
    <w:uiPriority w:val="32"/>
    <w:qFormat/>
    <w:rsid w:val="005C5E01"/>
    <w:rPr>
      <w:b/>
      <w:bCs/>
      <w:smallCaps/>
      <w:color w:val="0F4761" w:themeColor="accent1" w:themeShade="BF"/>
      <w:spacing w:val="5"/>
    </w:rPr>
  </w:style>
  <w:style w:type="character" w:styleId="SubtleEmphasis">
    <w:name w:val="Subtle Emphasis"/>
    <w:basedOn w:val="DefaultParagraphFont"/>
    <w:uiPriority w:val="19"/>
    <w:qFormat/>
    <w:rsid w:val="005C5E01"/>
    <w:rPr>
      <w:i/>
      <w:iCs/>
      <w:color w:val="404040" w:themeColor="text1" w:themeTint="BF"/>
    </w:rPr>
  </w:style>
  <w:style w:type="paragraph" w:styleId="Header">
    <w:name w:val="header"/>
    <w:basedOn w:val="Normal"/>
    <w:link w:val="HeaderChar"/>
    <w:uiPriority w:val="99"/>
    <w:unhideWhenUsed/>
    <w:rsid w:val="005C5E01"/>
    <w:pPr>
      <w:tabs>
        <w:tab w:val="center" w:pos="4680"/>
        <w:tab w:val="right" w:pos="9360"/>
      </w:tabs>
    </w:pPr>
  </w:style>
  <w:style w:type="character" w:customStyle="1" w:styleId="HeaderChar">
    <w:name w:val="Header Char"/>
    <w:basedOn w:val="DefaultParagraphFont"/>
    <w:link w:val="Header"/>
    <w:uiPriority w:val="99"/>
    <w:rsid w:val="005C5E01"/>
    <w:rPr>
      <w:rFonts w:ascii="Times New Roman" w:hAnsi="Times New Roman" w:cs="Times New Roman"/>
    </w:rPr>
  </w:style>
  <w:style w:type="paragraph" w:styleId="Footer">
    <w:name w:val="footer"/>
    <w:basedOn w:val="Normal"/>
    <w:link w:val="FooterChar"/>
    <w:uiPriority w:val="99"/>
    <w:unhideWhenUsed/>
    <w:rsid w:val="005C5E01"/>
    <w:pPr>
      <w:tabs>
        <w:tab w:val="center" w:pos="4680"/>
        <w:tab w:val="right" w:pos="9360"/>
      </w:tabs>
    </w:pPr>
  </w:style>
  <w:style w:type="character" w:customStyle="1" w:styleId="FooterChar">
    <w:name w:val="Footer Char"/>
    <w:basedOn w:val="DefaultParagraphFont"/>
    <w:link w:val="Footer"/>
    <w:uiPriority w:val="99"/>
    <w:rsid w:val="005C5E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48D866DCFD3421C89F658D6ADF3BD43"/>
        <w:category>
          <w:name w:val="General"/>
          <w:gallery w:val="placeholder"/>
        </w:category>
        <w:types>
          <w:type w:val="bbPlcHdr"/>
        </w:types>
        <w:behaviors>
          <w:behavior w:val="content"/>
        </w:behaviors>
        <w:guid w:val="{B064C078-59EA-4CB3-91CC-14B4E682FD5E}"/>
      </w:docPartPr>
      <w:docPartBody>
        <w:p w:rsidR="003D2277" w:rsidRDefault="003D2277" w:rsidP="003D2277">
          <w:pPr>
            <w:pStyle w:val="D48D866DCFD3421C89F658D6ADF3BD43"/>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77"/>
    <w:rsid w:val="003D2277"/>
    <w:rsid w:val="006E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8D866DCFD3421C89F658D6ADF3BD43">
    <w:name w:val="D48D866DCFD3421C89F658D6ADF3BD43"/>
    <w:rsid w:val="003D2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Knee Regulatory Research Center</dc:title>
  <dc:subject/>
  <dc:creator>Monica Moses</dc:creator>
  <cp:keywords/>
  <dc:description/>
  <cp:lastModifiedBy>Monica Moses</cp:lastModifiedBy>
  <cp:revision>1</cp:revision>
  <dcterms:created xsi:type="dcterms:W3CDTF">2024-12-21T16:09:00Z</dcterms:created>
  <dcterms:modified xsi:type="dcterms:W3CDTF">2024-12-21T16:29:00Z</dcterms:modified>
</cp:coreProperties>
</file>