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rPr>
          <w:color w:val="1a1918"/>
          <w:sz w:val="28"/>
          <w:szCs w:val="28"/>
          <w:u w:val="single"/>
        </w:rPr>
      </w:pPr>
      <w:r w:rsidDel="00000000" w:rsidR="00000000" w:rsidRPr="00000000">
        <w:rPr>
          <w:color w:val="1a1918"/>
          <w:sz w:val="28"/>
          <w:szCs w:val="28"/>
          <w:u w:val="single"/>
          <w:rtl w:val="0"/>
        </w:rPr>
        <w:t xml:space="preserve">Overview of requirements for Shampooers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shampooer occupation title varies across states. This database includes shampoo assistants, barber assistants, shampoo operators, shampoo technologists, shampoo technicians, and barber technicians.  These occupations are regulated in only a few states, and in some of those states they are only regulated for a few years.  The requirements for initial authorization to work vary, but may include a minimum level of education, training, and an exam.  Data users should pay close attention when -999 is used and read related comments.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