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CEB8" w14:textId="3F7C7415" w:rsidR="009B17D7" w:rsidRPr="009B17D7" w:rsidRDefault="009B17D7" w:rsidP="009B17D7">
      <w:pPr>
        <w:rPr>
          <w:u w:val="single"/>
        </w:rPr>
      </w:pPr>
      <w:r w:rsidRPr="009B17D7">
        <w:rPr>
          <w:u w:val="single"/>
        </w:rPr>
        <w:t xml:space="preserve">Overview of requirements for </w:t>
      </w:r>
      <w:r>
        <w:rPr>
          <w:u w:val="single"/>
        </w:rPr>
        <w:t>Mortgage Brokers</w:t>
      </w:r>
    </w:p>
    <w:p w14:paraId="19CCA8A9" w14:textId="23E369B9" w:rsidR="009B17D7" w:rsidRPr="009B17D7" w:rsidRDefault="009B17D7" w:rsidP="009B17D7">
      <w:r w:rsidRPr="009B17D7">
        <w:t xml:space="preserve">Generally, a mortgage broker license may be issued to an individual, a partnership, a limited liability company (LLC), or a corporation. Our data captures the requirements that serve as a barrier to entry for individuals. A primary distinction in these requirements is based on the individual’s place of business; individuals are generally exempt from state-level licensing requirements if they are acting on behalf of a depository institution, a subsidiary owned and controlled by a depository </w:t>
      </w:r>
      <w:proofErr w:type="gramStart"/>
      <w:r w:rsidRPr="009B17D7">
        <w:t>institution</w:t>
      </w:r>
      <w:r>
        <w:t>,</w:t>
      </w:r>
      <w:r w:rsidRPr="009B17D7">
        <w:t xml:space="preserve"> and</w:t>
      </w:r>
      <w:proofErr w:type="gramEnd"/>
      <w:r w:rsidRPr="009B17D7">
        <w:t xml:space="preserve"> regulated by a federal banking agency.  While these individuals may be exempt from state licensure, they may still be required to register with the state and/or the Nationwide Multistate Licensing System &amp; Registry (NMLSR).</w:t>
      </w:r>
    </w:p>
    <w:p w14:paraId="5B6F16BD" w14:textId="77777777" w:rsidR="009B17D7" w:rsidRPr="009B17D7" w:rsidRDefault="009B17D7" w:rsidP="009B17D7">
      <w:r w:rsidRPr="009B17D7">
        <w:t xml:space="preserve">After 2008, many states require initial and continuing licensure to be contingent upon having a "designated" or "qualified" individual within an office. If an individual applicant must meet specific requirements to practice, even if those requirements are simultaneously tied to a business entity, those requirements are collected.  However, it is possible for an applicant to </w:t>
      </w:r>
      <w:proofErr w:type="gramStart"/>
      <w:r w:rsidRPr="009B17D7">
        <w:t>apply</w:t>
      </w:r>
      <w:proofErr w:type="gramEnd"/>
      <w:r w:rsidRPr="009B17D7">
        <w:t xml:space="preserve"> and renew a license by designating someone else in their place of business to meet the requirements. For instance, Wash. Rev. Code Ann. § 19.146.200 (2006-2016) states: “A person, unless specifically exempted... may not engage in the business of a mortgage broker or loan originator without first obtaining and maintaining a license... Every licensed mortgage broker must </w:t>
      </w:r>
      <w:proofErr w:type="gramStart"/>
      <w:r w:rsidRPr="009B17D7">
        <w:t>at all times</w:t>
      </w:r>
      <w:proofErr w:type="gramEnd"/>
      <w:r w:rsidRPr="009B17D7">
        <w:t xml:space="preserve"> have a designated broker responsible for all </w:t>
      </w:r>
      <w:proofErr w:type="gramStart"/>
      <w:r w:rsidRPr="009B17D7">
        <w:t>activities.”</w:t>
      </w:r>
      <w:proofErr w:type="gramEnd"/>
      <w:r w:rsidRPr="009B17D7">
        <w:t>  We still include the licensing requirements for these years, while acknowledging the difference in the comments and in the occupation title, so data users can make their own interpretation of the barriers on the individual.  </w:t>
      </w:r>
    </w:p>
    <w:p w14:paraId="4659AC54" w14:textId="77777777" w:rsidR="00A40B2C" w:rsidRPr="009B17D7" w:rsidRDefault="00A40B2C" w:rsidP="00A40B2C">
      <w:r w:rsidRPr="009B17D7">
        <w:t>Because Carollo (2025) does not include mortgage broker data for reference, we have recorded occupation titles based on Pahl’s (2007) Federal Reserve Bank of Minneapolis report and relevant state statutes. Users should note there may be variations in scope of practice across these titles.</w:t>
      </w:r>
    </w:p>
    <w:p w14:paraId="7450F62B" w14:textId="046FF1BD" w:rsidR="00480891" w:rsidRDefault="00480891" w:rsidP="009B17D7">
      <w:r>
        <w:t xml:space="preserve">In Florida, </w:t>
      </w:r>
      <w:r w:rsidRPr="00480891">
        <w:t>Fla. Stat. Ann. § 494.001</w:t>
      </w:r>
      <w:r>
        <w:t>, a Mortgage Broker is defined as</w:t>
      </w:r>
      <w:r w:rsidRPr="00480891">
        <w:t xml:space="preserve"> </w:t>
      </w:r>
      <w:r>
        <w:t>“</w:t>
      </w:r>
      <w:r w:rsidRPr="00480891">
        <w:t>a person conducting loan originator activities through one or more licensed loan originators employed by the mortgage broker or as independent contractors to the mortgage broker.</w:t>
      </w:r>
      <w:r>
        <w:t xml:space="preserve">”  However, in Kentucky, </w:t>
      </w:r>
      <w:r w:rsidRPr="00480891">
        <w:t>Ky. Rev. Stat. § 286.8-010</w:t>
      </w:r>
      <w:r>
        <w:t>,</w:t>
      </w:r>
      <w:r w:rsidRPr="00480891">
        <w:rPr>
          <w:b/>
          <w:bCs/>
        </w:rPr>
        <w:t> </w:t>
      </w:r>
      <w:r w:rsidRPr="00480891">
        <w:t xml:space="preserve">Mortgage </w:t>
      </w:r>
      <w:r>
        <w:t>L</w:t>
      </w:r>
      <w:r w:rsidRPr="00480891">
        <w:t xml:space="preserve">oan </w:t>
      </w:r>
      <w:r>
        <w:t>B</w:t>
      </w:r>
      <w:r w:rsidRPr="00480891">
        <w:t xml:space="preserve">roker </w:t>
      </w:r>
      <w:r>
        <w:t>“</w:t>
      </w:r>
      <w:r w:rsidRPr="00480891">
        <w:t>means any person who for compensation or gain, or in the expectation of compensation or other gain, received directly or indirectly, serves as an agent for any borrower in an attempt to obtain a mortgage loan, or holds oneself out as being able to do so</w:t>
      </w:r>
      <w:r>
        <w:t>.”</w:t>
      </w:r>
    </w:p>
    <w:p w14:paraId="00875990" w14:textId="2EB86D97" w:rsidR="009B17D7" w:rsidRDefault="009B17D7" w:rsidP="009B17D7">
      <w:r w:rsidRPr="009B17D7">
        <w:t xml:space="preserve">In Mississippi (2000–2006), the occupation title "Mortgage Company" was used for what appears to be an individual license. Miss. Code Ann. § 81-18-7 stipulated: “...no person or </w:t>
      </w:r>
      <w:r w:rsidRPr="009B17D7">
        <w:lastRenderedPageBreak/>
        <w:t xml:space="preserve">natural person shall transact business... as a mortgage company unless he or she is licensed...” During this period, a mortgage company was defined as “any person or entity who... solicits, places or negotiates mortgage loans for others.” Similarly, in Nevada prior to 1999, the title "Mortgage Company" was used; Nev. Rev. Stat. Ann. § 645B.210 made it unlawful for "any person" to provide these services without a mortgage company license. </w:t>
      </w:r>
    </w:p>
    <w:p w14:paraId="036F2276" w14:textId="77777777" w:rsidR="00480891" w:rsidRDefault="00480891" w:rsidP="009B17D7"/>
    <w:p w14:paraId="7310A33E" w14:textId="18D0202D" w:rsidR="009B17D7" w:rsidRPr="009B17D7" w:rsidRDefault="009B17D7" w:rsidP="009B17D7">
      <w:r w:rsidRPr="009B17D7">
        <w:t xml:space="preserve">Carollo, N. A. (2025). </w:t>
      </w:r>
      <w:r w:rsidRPr="009B17D7">
        <w:rPr>
          <w:i/>
          <w:iCs/>
        </w:rPr>
        <w:t>Historical data on occupational regulation in the United States</w:t>
      </w:r>
      <w:r w:rsidRPr="009B17D7">
        <w:t xml:space="preserve"> [Working paper]. https://github.com/ncarollo/licensing-data</w:t>
      </w:r>
    </w:p>
    <w:p w14:paraId="60538180" w14:textId="77777777" w:rsidR="009B17D7" w:rsidRPr="009B17D7" w:rsidRDefault="009B17D7" w:rsidP="009B17D7">
      <w:r w:rsidRPr="009B17D7">
        <w:t xml:space="preserve">Pahl, C. (2007, October). </w:t>
      </w:r>
      <w:r w:rsidRPr="009B17D7">
        <w:rPr>
          <w:i/>
          <w:iCs/>
        </w:rPr>
        <w:t>A compilation of state mortgage broker laws and regulations, 1996-2006</w:t>
      </w:r>
      <w:r w:rsidRPr="009B17D7">
        <w:t xml:space="preserve"> (Report No. 2007-2). Federal Reserve Bank of Minneapolis. </w:t>
      </w:r>
    </w:p>
    <w:p w14:paraId="49D90843" w14:textId="77777777" w:rsidR="00061531" w:rsidRDefault="00061531"/>
    <w:sectPr w:rsidR="0006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31"/>
    <w:rsid w:val="00061531"/>
    <w:rsid w:val="00480891"/>
    <w:rsid w:val="009B17D7"/>
    <w:rsid w:val="00A40B2C"/>
    <w:rsid w:val="00A42DD8"/>
    <w:rsid w:val="00BB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7723"/>
  <w15:chartTrackingRefBased/>
  <w15:docId w15:val="{ADA791D6-3E98-4A6C-AC92-90BB0EB9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531"/>
    <w:rPr>
      <w:rFonts w:eastAsiaTheme="majorEastAsia" w:cstheme="majorBidi"/>
      <w:color w:val="272727" w:themeColor="text1" w:themeTint="D8"/>
    </w:rPr>
  </w:style>
  <w:style w:type="paragraph" w:styleId="Title">
    <w:name w:val="Title"/>
    <w:basedOn w:val="Normal"/>
    <w:next w:val="Normal"/>
    <w:link w:val="TitleChar"/>
    <w:uiPriority w:val="10"/>
    <w:qFormat/>
    <w:rsid w:val="00061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531"/>
    <w:pPr>
      <w:spacing w:before="160"/>
      <w:jc w:val="center"/>
    </w:pPr>
    <w:rPr>
      <w:i/>
      <w:iCs/>
      <w:color w:val="404040" w:themeColor="text1" w:themeTint="BF"/>
    </w:rPr>
  </w:style>
  <w:style w:type="character" w:customStyle="1" w:styleId="QuoteChar">
    <w:name w:val="Quote Char"/>
    <w:basedOn w:val="DefaultParagraphFont"/>
    <w:link w:val="Quote"/>
    <w:uiPriority w:val="29"/>
    <w:rsid w:val="00061531"/>
    <w:rPr>
      <w:i/>
      <w:iCs/>
      <w:color w:val="404040" w:themeColor="text1" w:themeTint="BF"/>
    </w:rPr>
  </w:style>
  <w:style w:type="paragraph" w:styleId="ListParagraph">
    <w:name w:val="List Paragraph"/>
    <w:basedOn w:val="Normal"/>
    <w:uiPriority w:val="34"/>
    <w:qFormat/>
    <w:rsid w:val="00061531"/>
    <w:pPr>
      <w:ind w:left="720"/>
      <w:contextualSpacing/>
    </w:pPr>
  </w:style>
  <w:style w:type="character" w:styleId="IntenseEmphasis">
    <w:name w:val="Intense Emphasis"/>
    <w:basedOn w:val="DefaultParagraphFont"/>
    <w:uiPriority w:val="21"/>
    <w:qFormat/>
    <w:rsid w:val="00061531"/>
    <w:rPr>
      <w:i/>
      <w:iCs/>
      <w:color w:val="0F4761" w:themeColor="accent1" w:themeShade="BF"/>
    </w:rPr>
  </w:style>
  <w:style w:type="paragraph" w:styleId="IntenseQuote">
    <w:name w:val="Intense Quote"/>
    <w:basedOn w:val="Normal"/>
    <w:next w:val="Normal"/>
    <w:link w:val="IntenseQuoteChar"/>
    <w:uiPriority w:val="30"/>
    <w:qFormat/>
    <w:rsid w:val="00061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531"/>
    <w:rPr>
      <w:i/>
      <w:iCs/>
      <w:color w:val="0F4761" w:themeColor="accent1" w:themeShade="BF"/>
    </w:rPr>
  </w:style>
  <w:style w:type="character" w:styleId="IntenseReference">
    <w:name w:val="Intense Reference"/>
    <w:basedOn w:val="DefaultParagraphFont"/>
    <w:uiPriority w:val="32"/>
    <w:qFormat/>
    <w:rsid w:val="000615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Wood</dc:creator>
  <cp:keywords/>
  <dc:description/>
  <cp:lastModifiedBy>Carol Wood</cp:lastModifiedBy>
  <cp:revision>2</cp:revision>
  <dcterms:created xsi:type="dcterms:W3CDTF">2026-03-30T16:48:00Z</dcterms:created>
  <dcterms:modified xsi:type="dcterms:W3CDTF">2026-03-30T17:18:00Z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723f3c0e-4219-487e-8b41-84c31b97c6db</vt:lpwstr>
  </property>
</Properties>
</file>